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 9B: THỰC HÀNH TẠO ĐỒ DÙNG GIA ĐÌNH THEO VIDEO HƯỚNG DẪN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YÊU CẦU CẦN ĐẠT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Kiến thức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luyện kĩ năng sử dụng công cụ đa phương tiện trong việc hỗ trợ tạo sản phẩm thủ công hữu ích.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Năng lực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Tạo được sản phẩm thủ công (đồ dùng gia đình) theo video hướng dẫn.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Phẩm chất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Chăm chỉ, hợp tác, có tinh thần làm việc nhóm.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Có tinh thần trách nhiệm đối với sản phẩm do mình tạo ra.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ĐỒ DÙNG DẠY HỌC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Giáo viên: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SGK, máy tính, máy chiếu, 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SGK, vở ghi,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44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CÁC HOẠT ĐỘNG DẠY HỌC CHỦ YẾU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Hoạt động khởi động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tiêu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Tạo tâm thế, sự tò mò, hứng thú để học sinh bắt đầu học bài mới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tìm hiểu nội dung SGK_T49 và trả lời câu hỏi.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Sản phẩm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trả lời được câu hỏi nội dung SGK_T49.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 chức thực hiện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0"/>
        <w:gridCol w:w="2668"/>
        <w:gridCol w:w="2422"/>
        <w:tblGridChange w:id="0">
          <w:tblGrid>
            <w:gridCol w:w="4260"/>
            <w:gridCol w:w="2668"/>
            <w:gridCol w:w="242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Sử dụng vật liệu tái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chế nhằm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giáo dục ý thức bảo vệ môi trường để tạo ra một sản phẩm hữu ích, mang tính thực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tế trong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cuộc sống hằng ngày.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HS thực hiện thảo luận nhóm  để cùng nhau tìm hiểu tình huống mà giáo viên đưa ra.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Học sinh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trả lời được câu hỏi nội dung SGK_T49.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Hoạt động 1: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Thực hành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tiêu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thực hành làm sản phẩm thủ công theo video.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thực hành làm sản phẩm thủ công theo video.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Sản phẩm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thực hành làm sản phẩm thủ công theo video.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 chức thực hiện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2553"/>
        <w:gridCol w:w="3293"/>
        <w:tblGridChange w:id="0">
          <w:tblGrid>
            <w:gridCol w:w="3504"/>
            <w:gridCol w:w="2553"/>
            <w:gridCol w:w="329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GV tổ chức hoạt động thực hành  theo nhiệm vụ: Em hãy tìm kiếm và xem video hướng dẫn để làm một chiếc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thùng rác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nhỏ từ vật liệu tái chế (Hình 69).và tiến hành làm theo hướng dẫn trong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SGK_T49, T50.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lắng nghe và quan sát.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thực hành theo các hướng dẫn và quan sát kết quả.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Học sinh báo cáo kết quả, nhận xét các nhóm khác.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sử dụng đúng công cụ điều khiển xem video để dễ dàng làm theo.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Hoạt động 2: Luyện tập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tiêu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12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Khái quát lại các kiến thức đã học thông qua các bài luyện tập, qua đó vận dụng vào thực tiễn.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hoàn thành bài tập của nội dung câu hỏi SGK_T51.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Sản phẩm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hoàn thành bài tập của nội dung câu hỏi SGK_T51.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 chức thực hiện</w:t>
      </w:r>
    </w:p>
    <w:p w:rsidR="00000000" w:rsidDel="00000000" w:rsidP="00000000" w:rsidRDefault="00000000" w:rsidRPr="00000000" w14:paraId="0000003D">
      <w:pPr>
        <w:jc w:val="left"/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4"/>
        <w:gridCol w:w="2942"/>
        <w:gridCol w:w="3504"/>
        <w:tblGridChange w:id="0">
          <w:tblGrid>
            <w:gridCol w:w="2904"/>
            <w:gridCol w:w="2942"/>
            <w:gridCol w:w="350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GV yêu cầu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học sinh hoàn thành bài tập của nội dung câu hỏi SGK_51.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và quan sát.</w:t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bài</w:t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Học sinh báo cáo kết quả, nhận xét các nhóm khác.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– Nhận ra nhiều đồ dùng thủ công có thể làm được từ vật liệu tái chế. </w:t>
            </w:r>
          </w:p>
          <w:p w:rsidR="00000000" w:rsidDel="00000000" w:rsidP="00000000" w:rsidRDefault="00000000" w:rsidRPr="00000000" w14:paraId="0000004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– Nhận ra dễ dàng tìm kiếm được các video hướng dẫn làm đồ dùng thủ công.</w:t>
            </w:r>
          </w:p>
        </w:tc>
      </w:tr>
    </w:tbl>
    <w:p w:rsidR="00000000" w:rsidDel="00000000" w:rsidP="00000000" w:rsidRDefault="00000000" w:rsidRPr="00000000" w14:paraId="0000004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Hoạt động 3: Vận dụng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Mục tiêu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được phát triển năng lực giải quyết vấn đề và sáng tạo.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Nội dung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tạo chương trình theo yêu cầu SGK_T51.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Sản phẩm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Học sinh tạo chương trình theo yêu cầu SGK_T51.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 chức thực hiện</w:t>
      </w:r>
    </w:p>
    <w:p w:rsidR="00000000" w:rsidDel="00000000" w:rsidP="00000000" w:rsidRDefault="00000000" w:rsidRPr="00000000" w14:paraId="00000052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7"/>
        <w:gridCol w:w="2931"/>
        <w:gridCol w:w="3321"/>
        <w:tblGridChange w:id="0">
          <w:tblGrid>
            <w:gridCol w:w="3177"/>
            <w:gridCol w:w="2931"/>
            <w:gridCol w:w="3321"/>
          </w:tblGrid>
        </w:tblGridChange>
      </w:tblGrid>
      <w:tr>
        <w:trPr>
          <w:cantSplit w:val="0"/>
          <w:trHeight w:val="93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GV tổ chức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Kết quả/sản phẩm </w:t>
              <w:br w:type="textWrapping"/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Học sinh tạo sản phẩm theo yêu cầu SGK_T51.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lắng nghe và quan sát.</w:t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hoàn thiện bài và quan sát kết quả.</w:t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Học sinh báo cáo kết quả, nhận xét các nhóm khác.</w:t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HS thực hành trên máy tính ở phòng TH để các em có thể vận dụng những kiến thức vừa học vào tình huống thực tế.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IV. ĐIỀU CHỈNH SAU BÀI DẠY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417"/>
        </w:tabs>
        <w:spacing w:line="276" w:lineRule="auto"/>
        <w:ind w:left="416" w:hanging="416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1. Những điều GV đã thực hiện chưa thành công: </w:t>
      </w:r>
    </w:p>
    <w:p w:rsidR="00000000" w:rsidDel="00000000" w:rsidP="00000000" w:rsidRDefault="00000000" w:rsidRPr="00000000" w14:paraId="0000005E">
      <w:pPr>
        <w:tabs>
          <w:tab w:val="right" w:leader="none" w:pos="9072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– </w:t>
        <w:tab/>
      </w:r>
    </w:p>
    <w:p w:rsidR="00000000" w:rsidDel="00000000" w:rsidP="00000000" w:rsidRDefault="00000000" w:rsidRPr="00000000" w14:paraId="0000005F">
      <w:pPr>
        <w:tabs>
          <w:tab w:val="right" w:leader="none" w:pos="9072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– </w:t>
        <w:tab/>
      </w:r>
    </w:p>
    <w:p w:rsidR="00000000" w:rsidDel="00000000" w:rsidP="00000000" w:rsidRDefault="00000000" w:rsidRPr="00000000" w14:paraId="00000060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 Những điều GV muốn thay đổi: </w:t>
      </w:r>
    </w:p>
    <w:p w:rsidR="00000000" w:rsidDel="00000000" w:rsidP="00000000" w:rsidRDefault="00000000" w:rsidRPr="00000000" w14:paraId="00000061">
      <w:pPr>
        <w:tabs>
          <w:tab w:val="right" w:leader="none" w:pos="9072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– </w:t>
        <w:tab/>
      </w:r>
    </w:p>
    <w:p w:rsidR="00000000" w:rsidDel="00000000" w:rsidP="00000000" w:rsidRDefault="00000000" w:rsidRPr="00000000" w14:paraId="00000062">
      <w:pPr>
        <w:tabs>
          <w:tab w:val="right" w:leader="none" w:pos="9072"/>
        </w:tabs>
        <w:rPr>
          <w:b w:val="1"/>
          <w:sz w:val="32"/>
          <w:szCs w:val="32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–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Calibri"/>
  <w:font w:name="UTM Alexander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5"/>
        <w:szCs w:val="25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80" w:before="80" w:line="3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6" w:val="single"/>
      </w:pBdr>
      <w:spacing w:after="240" w:before="240" w:lineRule="auto"/>
      <w:jc w:val="center"/>
    </w:pPr>
    <w:rPr>
      <w:rFonts w:ascii="UTM Alexander" w:cs="UTM Alexander" w:eastAsia="UTM Alexander" w:hAnsi="UTM Alexander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360" w:lineRule="auto"/>
      <w:jc w:val="center"/>
    </w:pPr>
    <w:rPr>
      <w:rFonts w:ascii="Cambria" w:cs="Cambria" w:eastAsia="Cambria" w:hAnsi="Cambria"/>
      <w:b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hd w:fill="a6a6a6" w:val="clear"/>
      <w:spacing w:after="120" w:before="180" w:line="288" w:lineRule="auto"/>
      <w:jc w:val="center"/>
    </w:pPr>
    <w:rPr>
      <w:rFonts w:ascii="UTM Alexander" w:cs="UTM Alexander" w:eastAsia="UTM Alexander" w:hAnsi="UTM Alexander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F02"/>
    <w:pPr>
      <w:spacing w:after="80" w:before="80" w:line="320" w:lineRule="exact"/>
      <w:ind w:firstLine="0"/>
    </w:pPr>
    <w:rPr>
      <w:rFonts w:ascii="Times New Roman" w:hAnsi="Times New Roman" w:eastAsiaTheme="minorHAnsi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 w:val="1"/>
    <w:rsid w:val="00CC1F02"/>
    <w:pPr>
      <w:keepNext w:val="1"/>
      <w:keepLines w:val="1"/>
      <w:pBdr>
        <w:bottom w:color="auto" w:space="1" w:sz="6" w:val="double"/>
      </w:pBdr>
      <w:spacing w:after="240" w:before="240" w:line="240" w:lineRule="atLeast"/>
      <w:jc w:val="center"/>
      <w:outlineLvl w:val="0"/>
    </w:pPr>
    <w:rPr>
      <w:rFonts w:ascii="UTM Alexander" w:hAnsi="UTM Alexander" w:cstheme="majorBidi" w:eastAsiaTheme="majorEastAsia"/>
      <w:b w:val="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C1F02"/>
    <w:pPr>
      <w:keepNext w:val="1"/>
      <w:keepLines w:val="1"/>
      <w:spacing w:after="240" w:before="360" w:line="360" w:lineRule="atLeast"/>
      <w:jc w:val="center"/>
      <w:outlineLvl w:val="1"/>
    </w:pPr>
    <w:rPr>
      <w:rFonts w:ascii="Cambria" w:hAnsi="Cambria" w:cstheme="majorBidi" w:eastAsiaTheme="majorEastAsia"/>
      <w:b w:val="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C1F02"/>
    <w:pPr>
      <w:keepNext w:val="1"/>
      <w:keepLines w:val="1"/>
      <w:shd w:color="auto" w:fill="a6a6a6" w:themeFill="background1" w:themeFillShade="0000A6" w:val="clear"/>
      <w:spacing w:after="120" w:before="180" w:line="288" w:lineRule="auto"/>
      <w:jc w:val="center"/>
      <w:outlineLvl w:val="2"/>
    </w:pPr>
    <w:rPr>
      <w:rFonts w:ascii="UTM Alexander" w:hAnsi="UTM Alexander" w:cstheme="majorBidi" w:eastAsiaTheme="majorEastAsia"/>
      <w:sz w:val="28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CC1F02"/>
    <w:rPr>
      <w:rFonts w:ascii="UTM Alexander" w:hAnsi="UTM Alexander" w:cstheme="majorBidi" w:eastAsiaTheme="majorEastAsia"/>
      <w:b w:val="1"/>
      <w:color w:val="000000" w:themeColor="text1"/>
      <w:sz w:val="36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CC1F02"/>
    <w:rPr>
      <w:rFonts w:ascii="Cambria" w:hAnsi="Cambria" w:cstheme="majorBidi" w:eastAsiaTheme="majorEastAsia"/>
      <w:b w:val="1"/>
      <w:color w:val="000000" w:themeColor="text1"/>
      <w:sz w:val="34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CC1F02"/>
    <w:rPr>
      <w:rFonts w:ascii="UTM Alexander" w:hAnsi="UTM Alexander" w:cstheme="majorBidi" w:eastAsiaTheme="majorEastAsia"/>
      <w:color w:val="000000" w:themeColor="text1"/>
      <w:sz w:val="28"/>
      <w:szCs w:val="24"/>
      <w:shd w:color="auto" w:fill="a6a6a6" w:themeFill="background1" w:themeFillShade="0000A6" w:val="clear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1"/>
    <w:qFormat w:val="1"/>
    <w:rsid w:val="00CC1F0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C1F02"/>
    <w:rPr>
      <w:color w:val="0563c1" w:themeColor="hyperlink"/>
      <w:u w:val="single"/>
    </w:rPr>
  </w:style>
  <w:style w:type="character" w:styleId="ListParagraphChar" w:customStyle="1">
    <w:name w:val="List Paragraph Char"/>
    <w:aliases w:val="Numbered List Char,bullet Char,List Paragraph1 Char,Cita extensa Char,HPL01 Char,Colorful List - Accent 13 Char"/>
    <w:link w:val="ListParagraph"/>
    <w:uiPriority w:val="1"/>
    <w:qFormat w:val="1"/>
    <w:locked w:val="1"/>
    <w:rsid w:val="00CC1F02"/>
    <w:rPr>
      <w:rFonts w:ascii="Times New Roman" w:hAnsi="Times New Roman" w:eastAsiaTheme="minorHAnsi"/>
      <w:color w:val="000000" w:themeColor="text1"/>
      <w:sz w:val="24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177D57"/>
    <w:pPr>
      <w:spacing w:after="100" w:afterAutospacing="1" w:before="100" w:beforeAutospacing="1" w:line="240" w:lineRule="auto"/>
      <w:jc w:val="left"/>
    </w:pPr>
    <w:rPr>
      <w:rFonts w:cs="Times New Roman"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B29F9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B29F9"/>
    <w:rPr>
      <w:rFonts w:ascii="Tahoma" w:cs="Tahoma" w:hAnsi="Tahoma" w:eastAsiaTheme="minorHAnsi"/>
      <w:color w:val="000000" w:themeColor="text1"/>
      <w:sz w:val="16"/>
      <w:szCs w:val="16"/>
      <w:lang w:eastAsia="en-US"/>
    </w:rPr>
  </w:style>
  <w:style w:type="character" w:styleId="hps" w:customStyle="1">
    <w:name w:val="hps"/>
    <w:basedOn w:val="DefaultParagraphFont"/>
    <w:rsid w:val="00FE798A"/>
  </w:style>
  <w:style w:type="paragraph" w:styleId="Pa13" w:customStyle="1">
    <w:name w:val="Pa13"/>
    <w:basedOn w:val="Normal"/>
    <w:next w:val="Normal"/>
    <w:uiPriority w:val="99"/>
    <w:rsid w:val="008C6246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Pa6" w:customStyle="1">
    <w:name w:val="Pa6"/>
    <w:basedOn w:val="Normal"/>
    <w:next w:val="Normal"/>
    <w:uiPriority w:val="99"/>
    <w:rsid w:val="00C85D5D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Pa15" w:customStyle="1">
    <w:name w:val="Pa15"/>
    <w:basedOn w:val="Normal"/>
    <w:next w:val="Normal"/>
    <w:uiPriority w:val="99"/>
    <w:rsid w:val="00083CC4"/>
    <w:pPr>
      <w:autoSpaceDE w:val="0"/>
      <w:autoSpaceDN w:val="0"/>
      <w:adjustRightInd w:val="0"/>
      <w:spacing w:after="0" w:before="0" w:line="251" w:lineRule="atLeast"/>
      <w:jc w:val="left"/>
    </w:pPr>
    <w:rPr>
      <w:rFonts w:ascii="Myriad Pro" w:hAnsi="Myriad Pro" w:eastAsiaTheme="minorEastAsia"/>
      <w:color w:val="auto"/>
      <w:szCs w:val="24"/>
      <w:lang w:eastAsia="ja-JP"/>
    </w:rPr>
  </w:style>
  <w:style w:type="paragraph" w:styleId="Pa30" w:customStyle="1">
    <w:name w:val="Pa30"/>
    <w:basedOn w:val="Normal"/>
    <w:next w:val="Normal"/>
    <w:uiPriority w:val="99"/>
    <w:rsid w:val="00EB5B6A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Pa14" w:customStyle="1">
    <w:name w:val="Pa14"/>
    <w:basedOn w:val="Normal"/>
    <w:next w:val="Normal"/>
    <w:uiPriority w:val="99"/>
    <w:rsid w:val="00210F59"/>
    <w:pPr>
      <w:autoSpaceDE w:val="0"/>
      <w:autoSpaceDN w:val="0"/>
      <w:adjustRightInd w:val="0"/>
      <w:spacing w:after="0" w:before="0" w:line="251" w:lineRule="atLeast"/>
      <w:jc w:val="left"/>
    </w:pPr>
    <w:rPr>
      <w:rFonts w:ascii="Minion Pro" w:hAnsi="Minion Pro" w:eastAsiaTheme="minorEastAsia"/>
      <w:color w:val="auto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  <w:ind w:firstLine="0"/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PDb6Vv9AZoeE/AS0A5kmuOE+A==">CgMxLjAyCGguZ2pkZ3hzMgloLjMwajB6bGw4AHIhMVY1X1pJSU9vZ3hHV2hMZlg5cWRyMmxBc2U5SlJmMFNm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2023-12-31T01:57:00Z</dcterms:created>
  <dc:creator>HoaTieu.vn; Mai Hoang</dc:creator>
</cp:coreProperties>
</file>